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2.1 Caso a opção marcada seja “aplica”, todo o conteúdo deverá ser mantido, com as </w:t>
      </w:r>
      <w:bookmarkStart w:id="0" w:name="_GoBack"/>
      <w:bookmarkEnd w:id="0"/>
      <w:r w:rsidRPr="00A50EEE">
        <w:rPr>
          <w:rFonts w:ascii="Calibri" w:hAnsi="Calibri" w:cs="Calibri"/>
          <w:i/>
          <w:highlight w:val="yellow"/>
        </w:rPr>
        <w:t>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5BF29A1E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6827E3">
        <w:rPr>
          <w:rFonts w:ascii="Calibri" w:hAnsi="Calibri" w:cs="Calibri"/>
          <w:b/>
          <w:bCs/>
        </w:rPr>
        <w:t>Por Dispensa de Licitação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1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1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65DD5D56" w14:textId="77777777" w:rsidR="003E7769" w:rsidRDefault="003E7769" w:rsidP="00EA730F">
      <w:pPr>
        <w:spacing w:after="0" w:line="240" w:lineRule="auto"/>
        <w:jc w:val="both"/>
        <w:rPr>
          <w:rFonts w:cstheme="minorHAnsi"/>
          <w:i/>
        </w:rPr>
      </w:pPr>
    </w:p>
    <w:p w14:paraId="0EB71BDE" w14:textId="77777777" w:rsidR="003E7769" w:rsidRPr="00A50EEE" w:rsidRDefault="003E7769" w:rsidP="00EA730F">
      <w:pPr>
        <w:spacing w:after="0" w:line="240" w:lineRule="auto"/>
        <w:jc w:val="both"/>
        <w:rPr>
          <w:rFonts w:cstheme="minorHAnsi"/>
          <w:b/>
          <w:i/>
        </w:rPr>
      </w:pPr>
    </w:p>
    <w:p w14:paraId="2254977E" w14:textId="77777777" w:rsidR="00EA730F" w:rsidRDefault="00EA730F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7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490"/>
        <w:gridCol w:w="1006"/>
        <w:gridCol w:w="992"/>
        <w:gridCol w:w="1134"/>
        <w:gridCol w:w="1134"/>
        <w:gridCol w:w="1134"/>
        <w:gridCol w:w="160"/>
      </w:tblGrid>
      <w:tr w:rsidR="003E7769" w14:paraId="07F10BC4" w14:textId="77777777" w:rsidTr="003E7769">
        <w:trPr>
          <w:gridAfter w:val="1"/>
          <w:wAfter w:w="160" w:type="dxa"/>
          <w:trHeight w:val="4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</w:tcPr>
          <w:p w14:paraId="7C2B7C7A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  <w:vAlign w:val="center"/>
            <w:hideMark/>
          </w:tcPr>
          <w:p w14:paraId="2B534C6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35A7F86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3E7769" w14:paraId="5F69A775" w14:textId="77777777" w:rsidTr="003E7769">
        <w:trPr>
          <w:gridAfter w:val="1"/>
          <w:wAfter w:w="160" w:type="dxa"/>
          <w:trHeight w:val="517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55D2636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18FAE73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0243A8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8E65B8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85342D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1D38B77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3E2CC9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ECE679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3E7769" w14:paraId="57415577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20E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F8E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32F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89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D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A578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B0A89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E7769" w14:paraId="47945D60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C8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31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376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7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C6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6E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265936B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316FC81" w14:textId="77777777" w:rsidTr="0014369E">
        <w:trPr>
          <w:trHeight w:val="42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861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62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40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C1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EDA6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E14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B9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14:paraId="7C48E21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0D131291" w14:textId="77777777" w:rsidTr="001436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A7B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4A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B38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9E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66FB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BE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169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1DBD953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5F6B820" w14:textId="77777777" w:rsidTr="0014369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A24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A0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4F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67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459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557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11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4748913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E7769" w14:paraId="0D626436" w14:textId="77777777" w:rsidTr="0014369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D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3D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C95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31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CAB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AA7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AC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E77439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9296D33" w14:textId="77777777" w:rsidTr="003E7769">
        <w:trPr>
          <w:trHeight w:val="7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42" w14:textId="77777777" w:rsidR="003E7769" w:rsidRDefault="003E77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81D3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53F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170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6D2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D2BF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CCF8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477E08E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25EE72C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617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6505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38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D62CCF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5F8DF97E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D9E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DCD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6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40283FB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36B6E13D" w14:textId="77777777" w:rsidR="002F1FA2" w:rsidRPr="000651CD" w:rsidRDefault="002F1FA2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2217D43" w14:textId="39B0DD1C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B66969" w:rsidRPr="00B66969">
        <w:rPr>
          <w:rFonts w:ascii="Calibri" w:hAnsi="Calibri" w:cs="Calibri"/>
        </w:rPr>
        <w:t>acima</w:t>
      </w:r>
      <w:r w:rsidR="006A563B" w:rsidRPr="00EA730F">
        <w:rPr>
          <w:rFonts w:ascii="Calibri" w:hAnsi="Calibri" w:cs="Calibri"/>
          <w:color w:val="FF0000"/>
        </w:rPr>
        <w:t xml:space="preserve"> </w:t>
      </w:r>
      <w:r w:rsidR="006A563B" w:rsidRPr="00EA730F">
        <w:rPr>
          <w:rFonts w:ascii="Calibri" w:hAnsi="Calibri" w:cs="Calibri"/>
        </w:rPr>
        <w:t>deste Termo de Referência.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41E64CE8" w14:textId="77777777" w:rsidR="002F1FA2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2F1FA2" w14:paraId="4CC17116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A3E705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E2A76D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3DC529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2F1FA2" w14:paraId="3FDA8D0E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41C45DD" w14:textId="7777777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ADD909F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C1C1DC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DAF022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DF382F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F418EB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C6CCB6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4C34A8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0F652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A94F6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A581D8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171883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B83FE2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B9D2E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DD566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49009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9A78F4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026AE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E48A82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46853F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16AC6C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858D78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50124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D92FC3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40A3842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71D35C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A62D6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101F85C" w14:textId="7F15875F" w:rsidR="002F1FA2" w:rsidRPr="002F1FA2" w:rsidRDefault="002F1FA2" w:rsidP="002F1FA2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43A197AC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BB10634" w14:textId="19B549D1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6F36676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152A3FD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0E048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075828B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5C1FCE6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4B3EF76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49A6E38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2274284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5D3940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787A7D2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0E1F5E3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646D335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4C58BED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039E3D90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68AC6FA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3A44A8F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7714091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56AE8C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01510B2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610F74A6" w14:textId="1D25AC4A" w:rsidR="002F1FA2" w:rsidRPr="00281FCA" w:rsidRDefault="002F1FA2" w:rsidP="002F1FA2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20279A5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59972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A07D9C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3A8CB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3652F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1A279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46EE0B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CAECFB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63DBD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F6066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60467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7CA4D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FCCA2D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912BE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44D8C7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E1190E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F01308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16E7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CABEDE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D30950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D19441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D54F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EE958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EEA95A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7D454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8D75B1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CE077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3028F4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40094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B021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22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292BC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8223A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89F734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8160C9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0EDAD4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91CA3D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C6CB1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6A3CF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03507F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7333EFE0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28FAFD77" w14:textId="2A86591D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2F1FA2" w14:paraId="06BE511C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15D5416" w14:textId="679A6F6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2021AEE3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473F0372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5774031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18A802B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007D13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5961FA5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1ECE3B4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68C48C9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5751BA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565AA3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840C6D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4818260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046FBC58" w14:textId="6178B0AA" w:rsidR="002F1FA2" w:rsidRPr="00EA730F" w:rsidRDefault="002F1FA2" w:rsidP="002F1FA2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67E92C3A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D99221B" w14:textId="77529C1C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2F1FA2" w14:paraId="242AD18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E622F39" w14:textId="31D8926E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3C73EF0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46A5C8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610A5C26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657E02B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2E3BB37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4361063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7C3957D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3EEB620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671C12F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3B113E1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F87CB7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3794E57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663445F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7E6D3453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3E7D504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687EBFC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6190811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7FB578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6FD5AC4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33E9BD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43ECAF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6A1627E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6F05B7A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4963BA1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11E5F8C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3E8541D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93B5EE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15B555B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119F88E9" w14:textId="68A5CFA7" w:rsidR="002F1FA2" w:rsidRPr="00281FCA" w:rsidRDefault="002F1FA2" w:rsidP="002F1FA2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0F313075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lastRenderedPageBreak/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3054115C" w14:textId="6D1CC035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B2137B9" w14:textId="77777777" w:rsidR="002F1FA2" w:rsidRPr="00656787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18F21A54" w14:textId="7A19E882" w:rsidR="00850CEF" w:rsidRPr="00850CEF" w:rsidRDefault="00850CEF" w:rsidP="00EA730F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850CEF">
        <w:rPr>
          <w:i/>
          <w:color w:val="FF0000"/>
          <w:highlight w:val="yellow"/>
        </w:rPr>
        <w:t>Com relação ao Estudo Técnico Preliminar, previsto no item 4.1, é preciso se atentar ao fato de que conforme Decreto Estadual nº 5352-R, de 28 de março de 2023, art.25, o ETP é facultado nas hipóteses dos incisos I, II, III, VII, VIII e alíneas “e” e “m” do inciso IV</w:t>
      </w:r>
      <w:r>
        <w:rPr>
          <w:i/>
          <w:color w:val="FF0000"/>
          <w:highlight w:val="yellow"/>
        </w:rPr>
        <w:t>, do art. 75 da Lei 14.133/</w:t>
      </w:r>
      <w:r w:rsidRPr="00850CEF">
        <w:rPr>
          <w:i/>
          <w:color w:val="FF0000"/>
          <w:highlight w:val="yellow"/>
        </w:rPr>
        <w:t>2021 e, caso</w:t>
      </w:r>
      <w:r>
        <w:rPr>
          <w:i/>
          <w:color w:val="FF0000"/>
          <w:highlight w:val="yellow"/>
        </w:rPr>
        <w:t xml:space="preserve"> seja</w:t>
      </w:r>
      <w:r w:rsidRPr="00850CEF">
        <w:rPr>
          <w:i/>
          <w:color w:val="FF0000"/>
          <w:highlight w:val="yellow"/>
        </w:rPr>
        <w:t xml:space="preserve"> dispensada a elaboração do ETP, deve, o gestor responsável pela demanda justificar expressamente, em cada caso, nos autos do processo as razões e os fundamentos da decisão que culminou no motivo da não elaboração do ETP.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2EC8B48C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 xml:space="preserve">JUSTIFICATIVA DO </w:t>
      </w:r>
      <w:r w:rsidR="005E4DEB">
        <w:rPr>
          <w:rFonts w:cstheme="minorHAnsi"/>
          <w:b/>
        </w:rPr>
        <w:t>CONTRATAÇÃO</w:t>
      </w:r>
      <w:r w:rsidR="007F67C8" w:rsidRPr="00EA730F">
        <w:rPr>
          <w:rFonts w:cstheme="minorHAnsi"/>
          <w:b/>
        </w:rPr>
        <w:t>:</w:t>
      </w:r>
    </w:p>
    <w:p w14:paraId="33AD10E4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*Não é necessário fazer uma justificativa longa, com trechos de lei. Haverá, no processo, análise jurídica. A justificativa aqui é técnica.</w:t>
      </w:r>
    </w:p>
    <w:p w14:paraId="116DBBA5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A justificativa deverá ser breve e baseada na conveniência, necessidade e oportunidade da contratação, contendo alguns requisitos indispensáveis, tais como: </w:t>
      </w:r>
    </w:p>
    <w:p w14:paraId="39C460FD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a) Demonstrar a relevância e a necessidade da contratação;</w:t>
      </w:r>
    </w:p>
    <w:p w14:paraId="3DC99EA8" w14:textId="77777777" w:rsidR="005E4DEB" w:rsidRPr="005E4DEB" w:rsidRDefault="005E4DEB" w:rsidP="005E4DEB">
      <w:pPr>
        <w:widowControl w:val="0"/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b) Quantificar a demanda, maior ou menor do consumo, fatores determinantes de variações, bem como os resultados esperados com a compra;</w:t>
      </w:r>
    </w:p>
    <w:p w14:paraId="7AD85736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c) Responder às perguntas:</w:t>
      </w:r>
    </w:p>
    <w:p w14:paraId="5896BE0F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c.1 Por que preciso disso? </w:t>
      </w:r>
    </w:p>
    <w:p w14:paraId="2A0620A3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c.2 Para que servirá?</w:t>
      </w:r>
    </w:p>
    <w:p w14:paraId="481EE93A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c.3 Para quanto tempo?</w:t>
      </w:r>
    </w:p>
    <w:p w14:paraId="64E63201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</w:p>
    <w:p w14:paraId="6E194BB1" w14:textId="2DED2594" w:rsidR="005E4DEB" w:rsidRPr="005E4DEB" w:rsidRDefault="005E4DEB" w:rsidP="005E4DE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3.3 </w:t>
      </w:r>
      <w:r w:rsidRPr="005E4DEB">
        <w:rPr>
          <w:rFonts w:cstheme="minorHAnsi"/>
          <w:b/>
        </w:rPr>
        <w:t>JUSTIFICATIVA DO QUANTITATIVO:</w:t>
      </w:r>
    </w:p>
    <w:p w14:paraId="5B79C4C1" w14:textId="77777777" w:rsidR="005E4DEB" w:rsidRPr="005E4DEB" w:rsidRDefault="005E4DEB" w:rsidP="005E4DEB">
      <w:pPr>
        <w:spacing w:after="0" w:line="240" w:lineRule="auto"/>
        <w:contextualSpacing/>
        <w:jc w:val="both"/>
        <w:rPr>
          <w:rFonts w:cstheme="minorHAnsi"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lastRenderedPageBreak/>
        <w:t xml:space="preserve">Deverá ser informado o período de que o quantitativo solicitado suprirá a necessidade (Exemplo: XX dias ou XX meses) e, ainda, deverá </w:t>
      </w:r>
      <w:r w:rsidRPr="005E4DEB">
        <w:rPr>
          <w:rFonts w:cstheme="minorHAnsi"/>
          <w:color w:val="FF0000"/>
          <w:highlight w:val="yellow"/>
        </w:rPr>
        <w:t xml:space="preserve">ser apresentada a memória de cálculo e metodologia utilizada para a estimativa do quantitativo. </w:t>
      </w:r>
    </w:p>
    <w:p w14:paraId="697DF8E7" w14:textId="77777777" w:rsidR="005E4DEB" w:rsidRPr="004546FC" w:rsidRDefault="005E4DEB" w:rsidP="005E4DEB">
      <w:pPr>
        <w:spacing w:after="0" w:line="240" w:lineRule="auto"/>
        <w:contextualSpacing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Importante informar a demanda do período anterior dessa contratação (se mensal, se diário). Esse quantitativo poderá ser acrescido de acordo com o aumento da demanda atual, devendo ser justificado.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4E5E766D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2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3"/>
    </w:p>
    <w:p w14:paraId="042ADCBD" w14:textId="4AE35C15" w:rsidR="005C305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</w:t>
      </w:r>
      <w:r w:rsidR="006827E3">
        <w:rPr>
          <w:rFonts w:asciiTheme="minorHAnsi" w:hAnsiTheme="minorHAnsi" w:cstheme="minorHAnsi"/>
          <w:sz w:val="22"/>
          <w:szCs w:val="22"/>
        </w:rPr>
        <w:t xml:space="preserve"> até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>01 (</w:t>
      </w:r>
      <w:r w:rsidR="006827E3">
        <w:rPr>
          <w:rFonts w:asciiTheme="minorHAnsi" w:hAnsiTheme="minorHAnsi" w:cstheme="minorHAnsi"/>
          <w:sz w:val="22"/>
          <w:szCs w:val="22"/>
        </w:rPr>
        <w:t>h</w:t>
      </w:r>
      <w:r w:rsidR="0014325C">
        <w:rPr>
          <w:rFonts w:asciiTheme="minorHAnsi" w:hAnsiTheme="minorHAnsi" w:cstheme="minorHAnsi"/>
          <w:sz w:val="22"/>
          <w:szCs w:val="22"/>
        </w:rPr>
        <w:t>um) ano</w:t>
      </w:r>
      <w:r w:rsidR="006827E3">
        <w:rPr>
          <w:rFonts w:asciiTheme="minorHAnsi" w:hAnsiTheme="minorHAnsi" w:cstheme="minorHAnsi"/>
          <w:sz w:val="22"/>
          <w:szCs w:val="22"/>
        </w:rPr>
        <w:t>,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contados da</w:t>
      </w:r>
      <w:r w:rsidR="006827E3">
        <w:rPr>
          <w:rFonts w:asciiTheme="minorHAnsi" w:hAnsiTheme="minorHAnsi" w:cstheme="minorHAnsi"/>
          <w:sz w:val="22"/>
          <w:szCs w:val="22"/>
        </w:rPr>
        <w:t xml:space="preserve"> data da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contrato, </w:t>
      </w:r>
      <w:r w:rsidR="0014325C">
        <w:rPr>
          <w:rFonts w:asciiTheme="minorHAnsi" w:hAnsiTheme="minorHAnsi" w:cstheme="minorHAnsi"/>
          <w:sz w:val="22"/>
          <w:szCs w:val="22"/>
        </w:rPr>
        <w:t>não podendo haver prorrogação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, na forma do artigo </w:t>
      </w:r>
      <w:r w:rsidR="0014325C">
        <w:rPr>
          <w:rFonts w:asciiTheme="minorHAnsi" w:hAnsiTheme="minorHAnsi" w:cstheme="minorHAnsi"/>
          <w:sz w:val="22"/>
          <w:szCs w:val="22"/>
        </w:rPr>
        <w:t>75, VIII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da Lei n° 14.133, de 2021.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4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4"/>
    </w:p>
    <w:p w14:paraId="7559F274" w14:textId="163B9ACD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r w:rsidR="006827E3">
        <w:rPr>
          <w:rFonts w:cstheme="minorHAnsi"/>
          <w:color w:val="FF0000"/>
        </w:rPr>
        <w:t>na primeira troca de plantão do dia subsequente</w:t>
      </w:r>
      <w:r w:rsidRPr="00A50EEE">
        <w:rPr>
          <w:rFonts w:cstheme="minorHAnsi"/>
          <w:color w:val="000000" w:themeColor="text1"/>
        </w:rPr>
        <w:t xml:space="preserve"> </w:t>
      </w:r>
      <w:r w:rsidR="0014325C">
        <w:rPr>
          <w:rFonts w:cstheme="minorHAnsi"/>
          <w:color w:val="000000" w:themeColor="text1"/>
        </w:rPr>
        <w:t>ao</w:t>
      </w:r>
      <w:r w:rsidRPr="00A50EEE">
        <w:rPr>
          <w:rFonts w:cstheme="minorHAnsi"/>
          <w:color w:val="000000" w:themeColor="text1"/>
        </w:rPr>
        <w:t xml:space="preserve">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5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5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66A5D540" w14:textId="15F027F4" w:rsidR="006E1057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.1.1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6E1057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6E1057" w:rsidRPr="009D31AF">
        <w:rPr>
          <w:rFonts w:ascii="Calibri" w:hAnsi="Calibri" w:cs="Calibri"/>
          <w:color w:val="000000" w:themeColor="text1"/>
        </w:rPr>
        <w:t xml:space="preserve"> de</w:t>
      </w:r>
      <w:r w:rsidR="00184528" w:rsidRPr="009D31AF">
        <w:rPr>
          <w:rFonts w:ascii="Calibri" w:hAnsi="Calibri" w:cs="Calibri"/>
          <w:color w:val="000000" w:themeColor="text1"/>
        </w:rPr>
        <w:t>verá apresentar a nota fiscal à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6E1057" w:rsidRPr="009D31AF">
        <w:rPr>
          <w:rFonts w:ascii="Calibri" w:hAnsi="Calibri" w:cs="Calibri"/>
          <w:color w:val="000000" w:themeColor="text1"/>
        </w:rPr>
        <w:t xml:space="preserve"> até </w:t>
      </w:r>
      <w:r w:rsidR="00A85A9D" w:rsidRPr="009D31AF">
        <w:rPr>
          <w:rFonts w:ascii="Calibri" w:hAnsi="Calibri" w:cs="Calibri"/>
          <w:color w:val="000000" w:themeColor="text1"/>
        </w:rPr>
        <w:t xml:space="preserve">o </w:t>
      </w:r>
      <w:r w:rsidR="00405813" w:rsidRPr="009D31AF">
        <w:rPr>
          <w:rFonts w:ascii="Calibri" w:hAnsi="Calibri" w:cs="Calibri"/>
          <w:color w:val="000000" w:themeColor="text1"/>
        </w:rPr>
        <w:t>5º (</w:t>
      </w:r>
      <w:r w:rsidR="006E1057" w:rsidRPr="009D31AF">
        <w:rPr>
          <w:rFonts w:ascii="Calibri" w:hAnsi="Calibri" w:cs="Calibri"/>
          <w:color w:val="000000" w:themeColor="text1"/>
        </w:rPr>
        <w:t>quinto</w:t>
      </w:r>
      <w:r w:rsidR="00405813" w:rsidRPr="009D31AF">
        <w:rPr>
          <w:rFonts w:ascii="Calibri" w:hAnsi="Calibri" w:cs="Calibri"/>
          <w:color w:val="000000" w:themeColor="text1"/>
        </w:rPr>
        <w:t>)</w:t>
      </w:r>
      <w:r w:rsidR="006E1057" w:rsidRPr="009D31AF">
        <w:rPr>
          <w:rFonts w:ascii="Calibri" w:hAnsi="Calibri" w:cs="Calibri"/>
          <w:color w:val="000000" w:themeColor="text1"/>
        </w:rPr>
        <w:t xml:space="preserve"> dia útil subsequente </w:t>
      </w:r>
      <w:r w:rsidR="00884DB4" w:rsidRPr="009D31AF">
        <w:rPr>
          <w:rFonts w:ascii="Calibri" w:hAnsi="Calibri" w:cs="Calibri"/>
          <w:color w:val="000000" w:themeColor="text1"/>
        </w:rPr>
        <w:t>da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184528" w:rsidRPr="009D31AF">
        <w:rPr>
          <w:rFonts w:ascii="Calibri" w:hAnsi="Calibri" w:cs="Calibri"/>
          <w:color w:val="000000" w:themeColor="text1"/>
        </w:rPr>
        <w:t>, devidamente aceita pela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C221E6" w:rsidRPr="009D31AF">
        <w:rPr>
          <w:rFonts w:ascii="Calibri" w:hAnsi="Calibri" w:cs="Calibri"/>
          <w:color w:val="000000" w:themeColor="text1"/>
        </w:rPr>
        <w:t>.</w:t>
      </w:r>
    </w:p>
    <w:p w14:paraId="7DAF293E" w14:textId="66474D7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74522D91" w14:textId="57EF4568" w:rsidR="004058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O pagamento far-se-á por meio de uma única </w:t>
      </w:r>
      <w:r w:rsidR="009F15DA" w:rsidRPr="009D31AF">
        <w:rPr>
          <w:rFonts w:ascii="Calibri" w:hAnsi="Calibri" w:cs="Calibri"/>
          <w:color w:val="000000" w:themeColor="text1"/>
        </w:rPr>
        <w:t>transferência bancária</w:t>
      </w:r>
      <w:r w:rsidR="00405813" w:rsidRPr="009D31AF">
        <w:rPr>
          <w:rFonts w:ascii="Calibri" w:hAnsi="Calibri" w:cs="Calibri"/>
          <w:color w:val="000000" w:themeColor="text1"/>
        </w:rPr>
        <w:t xml:space="preserve"> e será realizado até </w:t>
      </w:r>
      <w:r w:rsidR="006160A9" w:rsidRPr="009D31AF">
        <w:rPr>
          <w:rFonts w:ascii="Calibri" w:hAnsi="Calibri" w:cs="Calibri"/>
          <w:color w:val="000000" w:themeColor="text1"/>
        </w:rPr>
        <w:t>30 (trinta) dias</w:t>
      </w:r>
      <w:r w:rsidR="00405813" w:rsidRPr="009D31AF">
        <w:rPr>
          <w:rFonts w:ascii="Calibri" w:hAnsi="Calibri" w:cs="Calibri"/>
          <w:color w:val="000000" w:themeColor="text1"/>
        </w:rPr>
        <w:t xml:space="preserve"> após a apresentação da Nota Fiscal.</w:t>
      </w:r>
    </w:p>
    <w:p w14:paraId="3DDD3328" w14:textId="437A7CB1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lastRenderedPageBreak/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1B76E96C" w:rsidR="00D52EF3" w:rsidRPr="009D31AF" w:rsidRDefault="006827E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732BF967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6827E3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5615531D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2552C52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lastRenderedPageBreak/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>As parcelas de valor variável serão pagas mensalmente, junto com a parte fixa do contrato, e os ajustes financeiros decorrentes da avaliação do alcance das metas da parte variável serão 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</w:t>
      </w:r>
      <w:r w:rsidR="008617C4" w:rsidRPr="00885C3C">
        <w:rPr>
          <w:rFonts w:cstheme="minorHAnsi"/>
          <w:color w:val="000000" w:themeColor="text1"/>
        </w:rPr>
        <w:lastRenderedPageBreak/>
        <w:t xml:space="preserve">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por escrito, qualquer alteração na razão social ou de seu contrato acionário e de mudança em sua Diretoria, contrato ou estatuto, apresentando no prazo 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</w:t>
      </w:r>
      <w:r w:rsidR="00EB4B95" w:rsidRPr="00885C3C">
        <w:rPr>
          <w:rFonts w:cstheme="minorHAnsi"/>
        </w:rPr>
        <w:lastRenderedPageBreak/>
        <w:t xml:space="preserve">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4EF673AE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64904EE2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="006827E3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1B817532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6B451E08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29704460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2212BEE9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E80A79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238B9B1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lastRenderedPageBreak/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C909E1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C909E1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C909E1">
        <w:rPr>
          <w:rFonts w:ascii="Calibri" w:hAnsi="Calibri" w:cs="Calibri"/>
          <w:b/>
          <w:bCs/>
          <w:color w:val="FF0000"/>
        </w:rPr>
        <w:t>Médico plantonista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="002E16E7"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color w:val="FF0000"/>
        </w:rPr>
        <w:t xml:space="preserve">c) Coordenador Médico: </w:t>
      </w:r>
      <w:r w:rsidRPr="00C909E1">
        <w:rPr>
          <w:rFonts w:ascii="Calibri" w:hAnsi="Calibri" w:cs="Calibri"/>
          <w:color w:val="FF0000"/>
        </w:rPr>
        <w:t>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6827E3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6827E3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17E2238D" w14:textId="77777777" w:rsidR="00F11382" w:rsidRPr="00B813A9" w:rsidRDefault="00F11382" w:rsidP="00B813A9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F9C8C0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973B9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7D6523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1D0EEE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D2791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7CE6EF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B44EC5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3E9D4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24921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0592B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DB256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373BA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AF8884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DA048" w14:textId="77777777" w:rsidR="00194758" w:rsidRDefault="00194758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5D2AA2A3" w14:textId="77777777" w:rsidR="009F5044" w:rsidRDefault="009F5044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CBAD646" w14:textId="77777777" w:rsidR="00194758" w:rsidRDefault="00194758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1602A43A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>ANEXO 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3689BD29" w14:textId="77777777" w:rsidR="009F5044" w:rsidRPr="00B813A9" w:rsidRDefault="009F5044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7E62FCD0" w14:textId="77777777" w:rsidR="009F5044" w:rsidRPr="00B813A9" w:rsidRDefault="009F5044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default" r:id="rId8"/>
      <w:footerReference w:type="default" r:id="rId9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2EBD2" w14:textId="77777777" w:rsidR="0065158B" w:rsidRDefault="0065158B" w:rsidP="00687DF5">
      <w:pPr>
        <w:spacing w:after="0" w:line="240" w:lineRule="auto"/>
      </w:pPr>
      <w:r>
        <w:separator/>
      </w:r>
    </w:p>
  </w:endnote>
  <w:endnote w:type="continuationSeparator" w:id="0">
    <w:p w14:paraId="52E19E8B" w14:textId="77777777" w:rsidR="0065158B" w:rsidRDefault="0065158B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6827E3" w:rsidRDefault="006827E3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6827E3" w:rsidRPr="00417B2A" w:rsidRDefault="006827E3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6827E3" w:rsidRPr="00417B2A" w:rsidRDefault="006827E3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7C8D" w14:textId="77777777" w:rsidR="0065158B" w:rsidRDefault="0065158B" w:rsidP="00687DF5">
      <w:pPr>
        <w:spacing w:after="0" w:line="240" w:lineRule="auto"/>
      </w:pPr>
      <w:r>
        <w:separator/>
      </w:r>
    </w:p>
  </w:footnote>
  <w:footnote w:type="continuationSeparator" w:id="0">
    <w:p w14:paraId="01A76314" w14:textId="77777777" w:rsidR="0065158B" w:rsidRDefault="0065158B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6827E3" w:rsidRDefault="006827E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6827E3" w:rsidRPr="006B76D1" w:rsidRDefault="006827E3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061B5" w:rsidRPr="007061B5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17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6827E3" w:rsidRPr="006B76D1" w:rsidRDefault="006827E3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061B5" w:rsidRPr="007061B5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17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6827E3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6827E3" w:rsidRPr="008903C9" w:rsidRDefault="006827E3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14325C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6827E3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6827E3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6827E3" w:rsidRPr="008903C9" w:rsidRDefault="006827E3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27CFDE" w:rsidR="006827E3" w:rsidRPr="008903C9" w:rsidRDefault="006827E3" w:rsidP="00850CEF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POR DISPENSA DE LICITAÇÃO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6827E3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6827E3" w:rsidRPr="008903C9" w:rsidRDefault="006827E3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6827E3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3DC5C9E5" w:rsidR="006827E3" w:rsidRPr="008903C9" w:rsidRDefault="006827E3" w:rsidP="00907C10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7061B5">
            <w:rPr>
              <w:rFonts w:cstheme="minorHAnsi"/>
              <w:bCs/>
              <w:color w:val="000000" w:themeColor="text1"/>
              <w:sz w:val="20"/>
              <w:szCs w:val="20"/>
            </w:rPr>
            <w:t>3</w:t>
          </w:r>
        </w:p>
      </w:tc>
    </w:tr>
  </w:tbl>
  <w:p w14:paraId="69E10ADD" w14:textId="77777777" w:rsidR="006827E3" w:rsidRPr="008903C9" w:rsidRDefault="006827E3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F13B60"/>
    <w:multiLevelType w:val="multilevel"/>
    <w:tmpl w:val="1EF13B60"/>
    <w:lvl w:ilvl="0">
      <w:numFmt w:val="bullet"/>
      <w:lvlText w:val="•"/>
      <w:lvlJc w:val="left"/>
      <w:pPr>
        <w:ind w:left="785" w:hanging="360"/>
      </w:pPr>
      <w:rPr>
        <w:rFonts w:ascii="Calibri" w:eastAsia="Arial Unicode MS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>
    <w:nsid w:val="5CDC3EF8"/>
    <w:multiLevelType w:val="multilevel"/>
    <w:tmpl w:val="6FCC555E"/>
    <w:lvl w:ilvl="0">
      <w:start w:val="1"/>
      <w:numFmt w:val="decimal"/>
      <w:lvlText w:val="%1"/>
      <w:lvlJc w:val="left"/>
      <w:pPr>
        <w:ind w:left="490" w:hanging="49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661BB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13A0"/>
    <w:rsid w:val="000F5B36"/>
    <w:rsid w:val="000F62BA"/>
    <w:rsid w:val="000F6A68"/>
    <w:rsid w:val="000F6D48"/>
    <w:rsid w:val="00102386"/>
    <w:rsid w:val="00103B1E"/>
    <w:rsid w:val="00104A90"/>
    <w:rsid w:val="0010637E"/>
    <w:rsid w:val="001112D0"/>
    <w:rsid w:val="001127AC"/>
    <w:rsid w:val="0011683D"/>
    <w:rsid w:val="001215D6"/>
    <w:rsid w:val="001232B1"/>
    <w:rsid w:val="00125624"/>
    <w:rsid w:val="00126BED"/>
    <w:rsid w:val="0012793B"/>
    <w:rsid w:val="001312C9"/>
    <w:rsid w:val="001346DA"/>
    <w:rsid w:val="00140597"/>
    <w:rsid w:val="00142069"/>
    <w:rsid w:val="0014325C"/>
    <w:rsid w:val="0014415F"/>
    <w:rsid w:val="00146C13"/>
    <w:rsid w:val="00147AB9"/>
    <w:rsid w:val="0015001A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4758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E6284"/>
    <w:rsid w:val="002F1FA2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15E1C"/>
    <w:rsid w:val="00322ADF"/>
    <w:rsid w:val="00324275"/>
    <w:rsid w:val="003246E7"/>
    <w:rsid w:val="00325165"/>
    <w:rsid w:val="0032550B"/>
    <w:rsid w:val="00325ECA"/>
    <w:rsid w:val="003261EC"/>
    <w:rsid w:val="00333BD1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5E81"/>
    <w:rsid w:val="003C78B5"/>
    <w:rsid w:val="003D36D2"/>
    <w:rsid w:val="003D4764"/>
    <w:rsid w:val="003D4C8C"/>
    <w:rsid w:val="003E0A67"/>
    <w:rsid w:val="003E1DC9"/>
    <w:rsid w:val="003E2B96"/>
    <w:rsid w:val="003E408D"/>
    <w:rsid w:val="003E7769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60F8D"/>
    <w:rsid w:val="00570F4F"/>
    <w:rsid w:val="005725C2"/>
    <w:rsid w:val="00580920"/>
    <w:rsid w:val="00581FA7"/>
    <w:rsid w:val="00582D56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4DEB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158B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7E3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4063"/>
    <w:rsid w:val="006F5620"/>
    <w:rsid w:val="006F7609"/>
    <w:rsid w:val="00700E4C"/>
    <w:rsid w:val="00701241"/>
    <w:rsid w:val="00703D0D"/>
    <w:rsid w:val="00704510"/>
    <w:rsid w:val="007055D4"/>
    <w:rsid w:val="007061B5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0CEF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0747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5044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3227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77623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0584"/>
    <w:rsid w:val="00AC485B"/>
    <w:rsid w:val="00AC5064"/>
    <w:rsid w:val="00AC780F"/>
    <w:rsid w:val="00AD2F42"/>
    <w:rsid w:val="00AE2036"/>
    <w:rsid w:val="00AE59FC"/>
    <w:rsid w:val="00B02E0E"/>
    <w:rsid w:val="00B03FB7"/>
    <w:rsid w:val="00B049FC"/>
    <w:rsid w:val="00B13621"/>
    <w:rsid w:val="00B13D29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48A5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09E1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388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69D3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50D49"/>
    <w:rsid w:val="00E608B4"/>
    <w:rsid w:val="00E61385"/>
    <w:rsid w:val="00E6164E"/>
    <w:rsid w:val="00E61B4B"/>
    <w:rsid w:val="00E62E73"/>
    <w:rsid w:val="00E63498"/>
    <w:rsid w:val="00E6365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3B6F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58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1"/>
    <w:qFormat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D0A5-FB12-4F20-B046-9FCE0F6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7368</Words>
  <Characters>39789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4</cp:revision>
  <cp:lastPrinted>2024-01-05T20:18:00Z</cp:lastPrinted>
  <dcterms:created xsi:type="dcterms:W3CDTF">2024-01-25T16:06:00Z</dcterms:created>
  <dcterms:modified xsi:type="dcterms:W3CDTF">2024-01-25T16:08:00Z</dcterms:modified>
</cp:coreProperties>
</file>