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2.2 Caso a opção marcada seja “não se aplica”, deverá ser mantido o título do item, com a referida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38C84BB4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581FA7">
        <w:rPr>
          <w:rFonts w:ascii="Calibri" w:hAnsi="Calibri" w:cs="Calibri"/>
          <w:b/>
          <w:bCs/>
        </w:rPr>
        <w:t>Ordinária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0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0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29529F69" w14:textId="77777777" w:rsidR="00CF32A2" w:rsidRDefault="00CF32A2" w:rsidP="00EA730F">
      <w:pPr>
        <w:spacing w:after="0" w:line="240" w:lineRule="auto"/>
        <w:jc w:val="both"/>
        <w:rPr>
          <w:rFonts w:cstheme="minorHAnsi"/>
          <w:i/>
        </w:rPr>
      </w:pPr>
    </w:p>
    <w:p w14:paraId="78ABABB8" w14:textId="77777777" w:rsidR="00F4003E" w:rsidRPr="00A50EEE" w:rsidRDefault="00F4003E" w:rsidP="00EA730F">
      <w:pPr>
        <w:spacing w:after="0" w:line="240" w:lineRule="auto"/>
        <w:jc w:val="both"/>
        <w:rPr>
          <w:rFonts w:cstheme="minorHAnsi"/>
          <w:b/>
          <w:i/>
        </w:rPr>
      </w:pPr>
    </w:p>
    <w:tbl>
      <w:tblPr>
        <w:tblW w:w="96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409"/>
        <w:gridCol w:w="1006"/>
        <w:gridCol w:w="973"/>
        <w:gridCol w:w="1111"/>
        <w:gridCol w:w="1115"/>
        <w:gridCol w:w="1112"/>
        <w:gridCol w:w="159"/>
      </w:tblGrid>
      <w:tr w:rsidR="00F4003E" w14:paraId="113BA771" w14:textId="77777777" w:rsidTr="00CF32A2">
        <w:trPr>
          <w:gridAfter w:val="1"/>
          <w:wAfter w:w="157" w:type="dxa"/>
          <w:trHeight w:val="4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</w:tcPr>
          <w:p w14:paraId="0CACF7C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14:paraId="2181C281" w14:textId="5DE3F14D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 w:rsidRPr="002F1FA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0A0F8A5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F4003E" w14:paraId="4E1EB266" w14:textId="77777777" w:rsidTr="00CF32A2">
        <w:trPr>
          <w:gridAfter w:val="1"/>
          <w:wAfter w:w="159" w:type="dxa"/>
          <w:trHeight w:val="519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893607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8E9450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808BD3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24F7A8A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14:paraId="211B21F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22BA805" w14:textId="5C5822D7" w:rsidR="00F4003E" w:rsidRP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E1CC358" w14:textId="62AA813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07EDE2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F4003E" w14:paraId="39CCD243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0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CB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0C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9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6D5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1F2" w14:textId="1FD99286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9397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4003E" w14:paraId="0356414D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5F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62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A4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80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AF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05D" w14:textId="64D5F3DD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F3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A719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2CF8F0AA" w14:textId="77777777" w:rsidTr="00CF32A2">
        <w:trPr>
          <w:trHeight w:val="4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AE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2F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F81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47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39C7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0C3" w14:textId="3F24D030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4E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" w:type="dxa"/>
            <w:vAlign w:val="center"/>
          </w:tcPr>
          <w:p w14:paraId="3DD4EF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5E833A6" w14:textId="77777777" w:rsidTr="00CF32A2">
        <w:trPr>
          <w:trHeight w:val="42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E0D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F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9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269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80E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C4D" w14:textId="5CA6C26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CE9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3F76A6C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79C9BCBA" w14:textId="77777777" w:rsidTr="00CF32A2">
        <w:trPr>
          <w:trHeight w:val="21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2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33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52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20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2D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B31" w14:textId="3768D63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64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27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4003E" w14:paraId="479D6F90" w14:textId="77777777" w:rsidTr="00CF32A2">
        <w:trPr>
          <w:trHeight w:val="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2D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7D1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B7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6B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2E7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2FE0" w14:textId="40E204A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C0F6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4772849" w14:textId="77777777" w:rsidTr="00CF32A2">
        <w:trPr>
          <w:trHeight w:val="8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B1D" w14:textId="77777777" w:rsidR="00F4003E" w:rsidRDefault="00F4003E" w:rsidP="00CA0B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5A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308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043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2ED1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FE81" w14:textId="7E13E84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CD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078640F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51917EA9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F31" w14:textId="77777777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938" w14:textId="3D0F8585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4E0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4A91AC7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0F8DEA56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1D3" w14:textId="7777777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ECCA" w14:textId="738D966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19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5297406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21AF2568" w14:textId="77777777" w:rsidR="008C44B3" w:rsidRPr="00C40EA2" w:rsidRDefault="008C44B3" w:rsidP="00C40EA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2217D43" w14:textId="39B0DD1C" w:rsidR="006A563B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</w:t>
      </w:r>
      <w:r w:rsidR="006A563B" w:rsidRPr="00EA730F">
        <w:rPr>
          <w:rFonts w:ascii="Calibri" w:hAnsi="Calibri" w:cs="Calibri"/>
        </w:rPr>
        <w:t>As atividades e as quantidades dos profissionais informados na tabela do item 1.</w:t>
      </w:r>
      <w:r w:rsidR="003F751B" w:rsidRPr="00EA730F">
        <w:rPr>
          <w:rFonts w:ascii="Calibri" w:hAnsi="Calibri" w:cs="Calibri"/>
        </w:rPr>
        <w:t>2</w:t>
      </w:r>
      <w:r w:rsidR="006A563B" w:rsidRPr="00EA730F">
        <w:rPr>
          <w:rFonts w:ascii="Calibri" w:hAnsi="Calibri" w:cs="Calibri"/>
        </w:rPr>
        <w:t xml:space="preserve"> encontram-se descritas no quadro do </w:t>
      </w:r>
      <w:r w:rsidR="00B66969" w:rsidRPr="00B66969">
        <w:rPr>
          <w:rFonts w:ascii="Calibri" w:hAnsi="Calibri" w:cs="Calibri"/>
        </w:rPr>
        <w:t>acima</w:t>
      </w:r>
      <w:r w:rsidR="006A563B" w:rsidRPr="00EA730F">
        <w:rPr>
          <w:rFonts w:ascii="Calibri" w:hAnsi="Calibri" w:cs="Calibri"/>
          <w:color w:val="FF0000"/>
        </w:rPr>
        <w:t xml:space="preserve"> </w:t>
      </w:r>
      <w:r w:rsidR="006A563B" w:rsidRPr="00EA730F">
        <w:rPr>
          <w:rFonts w:ascii="Calibri" w:hAnsi="Calibri" w:cs="Calibri"/>
        </w:rPr>
        <w:t>deste Termo de Referência.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0BCB0FDF" w14:textId="77777777" w:rsidR="00AF2930" w:rsidRPr="00656787" w:rsidRDefault="00AF2930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AF2930" w14:paraId="36C907FF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FAD823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42A289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624A4B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AF2930" w14:paraId="5987727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94498E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7ABAD64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5027A1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B66EE1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6C8B8C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D649A2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779D1E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7769D1B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C75D6E6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C1F0F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E465BD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F449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2363E53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01D33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F10AF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E252A9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2E0344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E427BE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799482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70FEB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E7AAF0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5957C7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2D50C2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23FA74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F0145B4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EDBEE59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6538BA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212571" w14:textId="77777777" w:rsidR="00AF2930" w:rsidRPr="002F1FA2" w:rsidRDefault="00AF2930" w:rsidP="00CA0BA8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28A61421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065EF2AF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390DC00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675496DB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332C4B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4567443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25B1A1A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2A93D7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04CD22B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4CB9696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000D3A4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1680C5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6521C89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5C1893D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35EBE6E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360649A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2A43FFF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0DC00D2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1BC4C0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660A446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32EE8AD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4514422" w14:textId="77777777" w:rsidR="00AF2930" w:rsidRPr="00281FCA" w:rsidRDefault="00AF2930" w:rsidP="00CA0BA8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3CAF80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3E758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D31FB20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17BCCF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7337D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031DC3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3DB05A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7483F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F6E8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43686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809C7D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4507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53CDB5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B67FE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65593B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C10A26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532475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E7C83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8F09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B32F8E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84396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9AB25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B91E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D9E57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4465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DF637C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C70FE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B9203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1623B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650AC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05C6D4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D850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930C9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56DB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42694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19C3F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7F99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2E85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7C5611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2A690C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480CEC51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32D2BC1D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AF2930" w14:paraId="3CCA5F0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C3EEF1C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5567E1A2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0D47E33D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9E5576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0E56E5C2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36B9071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7350C48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7C8F84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28EC09F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0246F85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7B0D5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601312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06C85D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4FA84213" w14:textId="77777777" w:rsidR="00AF2930" w:rsidRPr="00EA730F" w:rsidRDefault="00AF2930" w:rsidP="00CA0BA8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04FBC360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982DFA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AF2930" w14:paraId="41B980E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0492D4E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FFEFB4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3FAF709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DE3F41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7D186F7F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D7A441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693D271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FFD24F3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1D7F4756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6E0658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AACA88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0CCAD94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5CFD56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7DF1F57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4661F9C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37B7CF0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218D74C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4AC552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0EF7130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37A1FD0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5C75280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58D3B4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66280F7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29E6786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09A5493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24F7190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3688DF8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3BF4867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2ED7CBE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27B5AD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FDEAE4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1CD178D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2B15CB3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7E21C12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6FFC4D5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3D2FB76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6A9CD30C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D59564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74F3F8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0645DDB1" w14:textId="77777777" w:rsidR="00AF2930" w:rsidRPr="00281FCA" w:rsidRDefault="00AF2930" w:rsidP="00CA0BA8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59A43AEB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C7536C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7C2DE8A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9E005B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248E09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0DC5B18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609F6C94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F1557D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0D7801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7658BF0D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5A63C6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15670306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2BEBAFF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1567E22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2E31A5F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28CFDFB" w14:textId="77777777" w:rsidR="001D2BA4" w:rsidRPr="00C40EA2" w:rsidRDefault="001D2BA4" w:rsidP="00C40EA2">
      <w:pPr>
        <w:spacing w:after="0" w:line="240" w:lineRule="auto"/>
        <w:jc w:val="both"/>
        <w:rPr>
          <w:rFonts w:ascii="Calibri" w:hAnsi="Calibri" w:cs="Calibri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Pr="00A267AC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577255C7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>JUSTIFICATIVA DO QUANTITATIVO:</w:t>
      </w:r>
    </w:p>
    <w:p w14:paraId="3FE07683" w14:textId="1BC57C53" w:rsidR="00607A67" w:rsidRPr="00A50EEE" w:rsidRDefault="00A50EEE" w:rsidP="005E7D24">
      <w:pPr>
        <w:spacing w:after="0" w:line="240" w:lineRule="auto"/>
        <w:jc w:val="both"/>
        <w:rPr>
          <w:rFonts w:cstheme="minorHAnsi"/>
          <w:i/>
          <w:strike/>
          <w:color w:val="FF0000"/>
        </w:rPr>
      </w:pPr>
      <w:r w:rsidRPr="00A50EEE">
        <w:rPr>
          <w:rFonts w:cstheme="minorHAnsi"/>
          <w:i/>
          <w:color w:val="FF0000"/>
          <w:highlight w:val="yellow"/>
        </w:rPr>
        <w:t xml:space="preserve">Conforme pormenorizado no Estudo Técnico Preliminar </w:t>
      </w:r>
      <w:r>
        <w:rPr>
          <w:rFonts w:cstheme="minorHAnsi"/>
          <w:i/>
          <w:color w:val="FF0000"/>
          <w:highlight w:val="yellow"/>
        </w:rPr>
        <w:t>–</w:t>
      </w:r>
      <w:r w:rsidRPr="00A50EEE">
        <w:rPr>
          <w:rFonts w:cstheme="minorHAnsi"/>
          <w:i/>
          <w:color w:val="FF0000"/>
          <w:highlight w:val="yellow"/>
        </w:rPr>
        <w:t xml:space="preserve"> ET</w:t>
      </w:r>
      <w:r>
        <w:rPr>
          <w:rFonts w:cstheme="minorHAnsi"/>
          <w:i/>
          <w:color w:val="FF0000"/>
          <w:highlight w:val="yellow"/>
        </w:rPr>
        <w:t xml:space="preserve">P, descrever de maneira suscita o </w:t>
      </w:r>
      <w:r w:rsidR="00726DE5" w:rsidRPr="00A50EEE">
        <w:rPr>
          <w:rFonts w:cstheme="minorHAnsi"/>
          <w:i/>
          <w:color w:val="FF0000"/>
          <w:highlight w:val="yellow"/>
        </w:rPr>
        <w:t>período no</w:t>
      </w:r>
      <w:r w:rsidR="00607A67" w:rsidRPr="00A50EEE">
        <w:rPr>
          <w:rFonts w:cstheme="minorHAnsi"/>
          <w:i/>
          <w:color w:val="FF0000"/>
          <w:highlight w:val="yellow"/>
        </w:rPr>
        <w:t xml:space="preserve"> </w:t>
      </w:r>
      <w:r w:rsidR="00607A67" w:rsidRPr="00EA730F">
        <w:rPr>
          <w:rFonts w:cstheme="minorHAnsi"/>
          <w:i/>
          <w:color w:val="FF0000"/>
          <w:highlight w:val="yellow"/>
        </w:rPr>
        <w:t>qu</w:t>
      </w:r>
      <w:r w:rsidR="00726DE5" w:rsidRPr="00EA730F">
        <w:rPr>
          <w:rFonts w:cstheme="minorHAnsi"/>
          <w:i/>
          <w:color w:val="FF0000"/>
          <w:highlight w:val="yellow"/>
        </w:rPr>
        <w:t>al</w:t>
      </w:r>
      <w:r w:rsidR="00607A67" w:rsidRPr="00EA730F">
        <w:rPr>
          <w:rFonts w:cstheme="minorHAnsi"/>
          <w:i/>
          <w:color w:val="FF0000"/>
          <w:highlight w:val="yellow"/>
        </w:rPr>
        <w:t xml:space="preserve"> o quantitativo solicitado suprirá a necessidade </w:t>
      </w:r>
      <w:r w:rsidR="00A267AC">
        <w:rPr>
          <w:rFonts w:cstheme="minorHAnsi"/>
          <w:i/>
          <w:color w:val="FF0000"/>
          <w:highlight w:val="yellow"/>
        </w:rPr>
        <w:t xml:space="preserve">se </w:t>
      </w:r>
      <w:r w:rsidR="00840DC8" w:rsidRPr="00EA730F">
        <w:rPr>
          <w:rFonts w:cstheme="minorHAnsi"/>
          <w:i/>
          <w:color w:val="FF0000"/>
          <w:highlight w:val="yellow"/>
        </w:rPr>
        <w:t>12</w:t>
      </w:r>
      <w:r w:rsidR="00BD4998" w:rsidRPr="00EA730F">
        <w:rPr>
          <w:rFonts w:cstheme="minorHAnsi"/>
          <w:i/>
          <w:color w:val="FF0000"/>
          <w:highlight w:val="yellow"/>
        </w:rPr>
        <w:t xml:space="preserve"> meses</w:t>
      </w:r>
      <w:r w:rsidR="00A267AC">
        <w:rPr>
          <w:rFonts w:cstheme="minorHAnsi"/>
          <w:i/>
          <w:color w:val="FF0000"/>
          <w:highlight w:val="yellow"/>
        </w:rPr>
        <w:t xml:space="preserve"> ou mais</w:t>
      </w:r>
      <w:r w:rsidR="005E7D24">
        <w:rPr>
          <w:rFonts w:cstheme="minorHAnsi"/>
          <w:i/>
          <w:color w:val="FF0000"/>
          <w:highlight w:val="yellow"/>
        </w:rPr>
        <w:t>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7D1F11E0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</w:t>
      </w:r>
      <w:r w:rsidR="00434796" w:rsidRPr="00A267AC">
        <w:rPr>
          <w:rFonts w:cstheme="minorHAnsi"/>
          <w:color w:val="000000" w:themeColor="text1"/>
        </w:rPr>
        <w:t xml:space="preserve"> </w:t>
      </w:r>
      <w:r w:rsidR="00434796" w:rsidRPr="00A267AC">
        <w:rPr>
          <w:rFonts w:cstheme="minorHAnsi"/>
        </w:rPr>
        <w:t xml:space="preserve">conforme justificativa constante do </w:t>
      </w:r>
      <w:r w:rsidR="00A267AC" w:rsidRPr="00A267AC">
        <w:rPr>
          <w:rFonts w:cstheme="minorHAnsi"/>
        </w:rPr>
        <w:t>Estudo Técnico Preliminar - ETP</w:t>
      </w:r>
      <w:r w:rsidR="009C6691" w:rsidRPr="00A267AC">
        <w:rPr>
          <w:rFonts w:cstheme="minorHAnsi"/>
          <w:color w:val="000000" w:themeColor="text1"/>
        </w:rPr>
        <w:t>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1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1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2"/>
    </w:p>
    <w:p w14:paraId="042ADCBD" w14:textId="134FC036" w:rsidR="005C305E" w:rsidRPr="00A50EE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 .............................. (máximo de 5 anos) contados da publicação do contrato no Diário Oficial, prorrogável por até 10 anos, na forma dos artigos 106 e 107 da Lei n° 14.133, de 2021.</w:t>
      </w:r>
    </w:p>
    <w:p w14:paraId="2FF88E5B" w14:textId="207DB1F4" w:rsidR="00EA1803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6.1.1 O serviço é enquadrado como 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>continuado tendo em vista que o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serviço médico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é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</w:t>
      </w:r>
      <w:r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atividade fim da </w:t>
      </w:r>
      <w:r w:rsidR="005E7D24"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>Unidade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Hospitalar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, sendo a vigência plurianual mais vantajosa considerando a 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formação e mobilização da equipe, bem como a adaptação aos processos internos de trabalho da Unidade Hospitalar.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3"/>
    </w:p>
    <w:p w14:paraId="7559F274" w14:textId="5C6CCCB9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proofErr w:type="spellStart"/>
      <w:r w:rsidRPr="00A50EEE">
        <w:rPr>
          <w:rFonts w:cstheme="minorHAnsi"/>
          <w:color w:val="FF0000"/>
        </w:rPr>
        <w:t>xx</w:t>
      </w:r>
      <w:proofErr w:type="spellEnd"/>
      <w:r w:rsidRPr="00A50EEE">
        <w:rPr>
          <w:rFonts w:cstheme="minorHAnsi"/>
          <w:color w:val="FF0000"/>
        </w:rPr>
        <w:t xml:space="preserve"> </w:t>
      </w:r>
      <w:r w:rsidRPr="00A50EEE">
        <w:rPr>
          <w:rFonts w:cstheme="minorHAnsi"/>
          <w:color w:val="000000" w:themeColor="text1"/>
        </w:rPr>
        <w:t>dias após o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4AEDD3CA" w14:textId="0301C152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FF0000"/>
        </w:rPr>
      </w:pPr>
      <w:r w:rsidRPr="00A50EEE">
        <w:rPr>
          <w:rFonts w:cstheme="minorHAnsi"/>
          <w:color w:val="FF0000"/>
          <w:highlight w:val="yellow"/>
        </w:rPr>
        <w:t>7</w:t>
      </w:r>
      <w:r w:rsidR="00E9688B" w:rsidRPr="00A50EEE">
        <w:rPr>
          <w:rFonts w:cstheme="minorHAnsi"/>
          <w:color w:val="FF0000"/>
          <w:highlight w:val="yellow"/>
        </w:rPr>
        <w:t xml:space="preserve">.2 (Especificar demais detalhamentos da prestação dos serviços, levando </w:t>
      </w:r>
      <w:r w:rsidRPr="00A50EEE">
        <w:rPr>
          <w:rFonts w:cstheme="minorHAnsi"/>
          <w:color w:val="FF0000"/>
          <w:highlight w:val="yellow"/>
        </w:rPr>
        <w:t>em consideração o objeto, como por</w:t>
      </w:r>
      <w:r w:rsidR="00E9688B" w:rsidRPr="00A50EEE">
        <w:rPr>
          <w:rFonts w:cstheme="minorHAnsi"/>
          <w:color w:val="FF0000"/>
          <w:highlight w:val="yellow"/>
        </w:rPr>
        <w:t xml:space="preserve"> exemplo a entrega de materiais/equipamentos necessários à execução dos serviços, inclusive prevendo prazos, se necessário).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4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4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66A5D540" w14:textId="15F027F4" w:rsidR="006E1057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.1.1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6E1057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6E1057" w:rsidRPr="009D31AF">
        <w:rPr>
          <w:rFonts w:ascii="Calibri" w:hAnsi="Calibri" w:cs="Calibri"/>
          <w:color w:val="000000" w:themeColor="text1"/>
        </w:rPr>
        <w:t xml:space="preserve"> de</w:t>
      </w:r>
      <w:r w:rsidR="00184528" w:rsidRPr="009D31AF">
        <w:rPr>
          <w:rFonts w:ascii="Calibri" w:hAnsi="Calibri" w:cs="Calibri"/>
          <w:color w:val="000000" w:themeColor="text1"/>
        </w:rPr>
        <w:t>verá apresentar a nota fiscal à</w:t>
      </w:r>
      <w:r w:rsidR="006E1057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6E1057" w:rsidRPr="009D31AF">
        <w:rPr>
          <w:rFonts w:ascii="Calibri" w:hAnsi="Calibri" w:cs="Calibri"/>
          <w:color w:val="000000" w:themeColor="text1"/>
        </w:rPr>
        <w:t xml:space="preserve"> até </w:t>
      </w:r>
      <w:r w:rsidR="00A85A9D" w:rsidRPr="009D31AF">
        <w:rPr>
          <w:rFonts w:ascii="Calibri" w:hAnsi="Calibri" w:cs="Calibri"/>
          <w:color w:val="000000" w:themeColor="text1"/>
        </w:rPr>
        <w:t xml:space="preserve">o </w:t>
      </w:r>
      <w:r w:rsidR="00405813" w:rsidRPr="009D31AF">
        <w:rPr>
          <w:rFonts w:ascii="Calibri" w:hAnsi="Calibri" w:cs="Calibri"/>
          <w:color w:val="000000" w:themeColor="text1"/>
        </w:rPr>
        <w:t>5º (</w:t>
      </w:r>
      <w:r w:rsidR="006E1057" w:rsidRPr="009D31AF">
        <w:rPr>
          <w:rFonts w:ascii="Calibri" w:hAnsi="Calibri" w:cs="Calibri"/>
          <w:color w:val="000000" w:themeColor="text1"/>
        </w:rPr>
        <w:t>quinto</w:t>
      </w:r>
      <w:r w:rsidR="00405813" w:rsidRPr="009D31AF">
        <w:rPr>
          <w:rFonts w:ascii="Calibri" w:hAnsi="Calibri" w:cs="Calibri"/>
          <w:color w:val="000000" w:themeColor="text1"/>
        </w:rPr>
        <w:t>)</w:t>
      </w:r>
      <w:r w:rsidR="006E1057" w:rsidRPr="009D31AF">
        <w:rPr>
          <w:rFonts w:ascii="Calibri" w:hAnsi="Calibri" w:cs="Calibri"/>
          <w:color w:val="000000" w:themeColor="text1"/>
        </w:rPr>
        <w:t xml:space="preserve"> dia útil subsequente </w:t>
      </w:r>
      <w:r w:rsidR="00884DB4" w:rsidRPr="009D31AF">
        <w:rPr>
          <w:rFonts w:ascii="Calibri" w:hAnsi="Calibri" w:cs="Calibri"/>
          <w:color w:val="000000" w:themeColor="text1"/>
        </w:rPr>
        <w:t>da</w:t>
      </w:r>
      <w:r w:rsidR="006E1057" w:rsidRPr="009D31AF">
        <w:rPr>
          <w:rFonts w:ascii="Calibri" w:hAnsi="Calibri" w:cs="Calibri"/>
          <w:color w:val="000000" w:themeColor="text1"/>
        </w:rPr>
        <w:t xml:space="preserve">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184528" w:rsidRPr="009D31AF">
        <w:rPr>
          <w:rFonts w:ascii="Calibri" w:hAnsi="Calibri" w:cs="Calibri"/>
          <w:color w:val="000000" w:themeColor="text1"/>
        </w:rPr>
        <w:t>, devidamente aceita pela</w:t>
      </w:r>
      <w:r w:rsidR="006E1057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C221E6" w:rsidRPr="009D31AF">
        <w:rPr>
          <w:rFonts w:ascii="Calibri" w:hAnsi="Calibri" w:cs="Calibri"/>
          <w:color w:val="000000" w:themeColor="text1"/>
        </w:rPr>
        <w:t>.</w:t>
      </w:r>
    </w:p>
    <w:p w14:paraId="7DAF293E" w14:textId="66474D7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74522D91" w14:textId="57EF4568" w:rsidR="004058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O pagamento far-se-á por meio de uma única </w:t>
      </w:r>
      <w:r w:rsidR="009F15DA" w:rsidRPr="009D31AF">
        <w:rPr>
          <w:rFonts w:ascii="Calibri" w:hAnsi="Calibri" w:cs="Calibri"/>
          <w:color w:val="000000" w:themeColor="text1"/>
        </w:rPr>
        <w:t>transferência bancária</w:t>
      </w:r>
      <w:r w:rsidR="00405813" w:rsidRPr="009D31AF">
        <w:rPr>
          <w:rFonts w:ascii="Calibri" w:hAnsi="Calibri" w:cs="Calibri"/>
          <w:color w:val="000000" w:themeColor="text1"/>
        </w:rPr>
        <w:t xml:space="preserve"> e será realizado até </w:t>
      </w:r>
      <w:r w:rsidR="006160A9" w:rsidRPr="009D31AF">
        <w:rPr>
          <w:rFonts w:ascii="Calibri" w:hAnsi="Calibri" w:cs="Calibri"/>
          <w:color w:val="000000" w:themeColor="text1"/>
        </w:rPr>
        <w:t>30 (trinta) dias</w:t>
      </w:r>
      <w:r w:rsidR="00405813" w:rsidRPr="009D31AF">
        <w:rPr>
          <w:rFonts w:ascii="Calibri" w:hAnsi="Calibri" w:cs="Calibri"/>
          <w:color w:val="000000" w:themeColor="text1"/>
        </w:rPr>
        <w:t xml:space="preserve"> após a apresentação da Nota Fiscal.</w:t>
      </w:r>
    </w:p>
    <w:p w14:paraId="3DDD3328" w14:textId="437A7CB1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lastRenderedPageBreak/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597B6DB5" w:rsidR="00D52EF3" w:rsidRPr="009D31AF" w:rsidRDefault="00AF2930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1B6849BF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AF2930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lastRenderedPageBreak/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19111DB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6B7C1E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 xml:space="preserve">As parcelas de valor variável serão pagas mensalmente, junto com a parte fixa do contrato, e os ajustes financeiros decorrentes da avaliação do alcance das metas da parte variável serão </w:t>
      </w:r>
      <w:r w:rsidR="003734E0" w:rsidRPr="00885C3C">
        <w:rPr>
          <w:rFonts w:eastAsia="Verdana" w:cstheme="minorHAnsi"/>
        </w:rPr>
        <w:lastRenderedPageBreak/>
        <w:t>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por escrito, qualquer alteração na razão social ou de seu contrato acionário e de mudança em sua Diretoria, contrato ou estatuto, apresentando no prazo </w:t>
      </w:r>
      <w:r w:rsidR="00EB4B95" w:rsidRPr="00885C3C">
        <w:rPr>
          <w:rFonts w:cstheme="minorHAnsi"/>
        </w:rPr>
        <w:lastRenderedPageBreak/>
        <w:t>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4EF673AE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29918C8E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Fornecer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4D5885B8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471CE4EE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74703DDC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16B85D3D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7D56E77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3657790D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3C449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Pr="00FB3F1E" w:rsidRDefault="00264BB4" w:rsidP="00FB3F1E">
      <w:pPr>
        <w:spacing w:after="0" w:line="240" w:lineRule="auto"/>
        <w:jc w:val="both"/>
        <w:rPr>
          <w:rFonts w:ascii="Calibri" w:hAnsi="Calibri" w:cs="Calibri"/>
          <w:b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3F5E9312" w14:textId="1754F8DB" w:rsidR="00031D87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A52648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Após a convocação para ASSINATURA DO CONTRATO e visando o cadastramento dos profissionais alocados pela empresa a ser </w:t>
      </w:r>
      <w:r w:rsidR="00AE2036">
        <w:rPr>
          <w:rFonts w:ascii="Calibri" w:hAnsi="Calibri" w:cs="Calibri"/>
        </w:rPr>
        <w:t>CONTRATADA</w:t>
      </w:r>
      <w:r w:rsidR="00A52648" w:rsidRPr="00C40EA2">
        <w:rPr>
          <w:rFonts w:ascii="Calibri" w:hAnsi="Calibri" w:cs="Calibri"/>
        </w:rPr>
        <w:t>, serão exigidos os seguintes documentos específicos que comprovem a habilitação para o exercício da especialidade do objeto contratado, a ser entreg</w:t>
      </w:r>
      <w:r w:rsidR="001D561C">
        <w:rPr>
          <w:rFonts w:ascii="Calibri" w:hAnsi="Calibri" w:cs="Calibri"/>
        </w:rPr>
        <w:t>ue no prazo previsto no Edital:</w:t>
      </w:r>
    </w:p>
    <w:p w14:paraId="61E27284" w14:textId="46FD7C58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031D87" w:rsidRPr="001D561C">
        <w:rPr>
          <w:rFonts w:ascii="Calibri" w:hAnsi="Calibri" w:cs="Calibri"/>
        </w:rPr>
        <w:t>.1.1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AF2930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AF2930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AF2930">
        <w:rPr>
          <w:rFonts w:ascii="Calibri" w:hAnsi="Calibri" w:cs="Calibri"/>
          <w:b/>
          <w:bCs/>
          <w:color w:val="FF0000"/>
        </w:rPr>
        <w:t>Médico plantonista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="002E16E7"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color w:val="FF0000"/>
        </w:rPr>
        <w:t xml:space="preserve">c) Coordenador Médico: </w:t>
      </w:r>
      <w:r w:rsidRPr="00AF2930">
        <w:rPr>
          <w:rFonts w:ascii="Calibri" w:hAnsi="Calibri" w:cs="Calibri"/>
          <w:color w:val="FF0000"/>
        </w:rPr>
        <w:t>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proofErr w:type="spellStart"/>
      <w:r w:rsidRPr="00AF2930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AF2930">
        <w:rPr>
          <w:rFonts w:ascii="Calibri" w:hAnsi="Calibri" w:cs="Calibri"/>
          <w:i/>
          <w:color w:val="FF0000"/>
          <w:highlight w:val="yellow"/>
        </w:rPr>
        <w:t>: os profissionais acima descritos servem apenas como exemplo de preenchimento, devendo ser alterado de acordo com o objeto a ser contratado.</w:t>
      </w:r>
    </w:p>
    <w:p w14:paraId="45E8A195" w14:textId="362A9C24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C145C7" w:rsidRPr="001D561C">
        <w:rPr>
          <w:rFonts w:ascii="Calibri" w:hAnsi="Calibri" w:cs="Calibri"/>
        </w:rPr>
        <w:t>.2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AA4D1FD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18B387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295E84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FC91D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7462E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02809E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0D2BA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081F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974BA1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3D4A69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5C7FC7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D9EC2C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A2D25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6D089D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F025CF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E7479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B18FE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EB091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BC834E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AA19C2B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4F0DDD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7B27C4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B17FE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851BA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CE7B9D6" w14:textId="77777777" w:rsidR="00F4003E" w:rsidRDefault="00F4003E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81F7B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ABE2A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E8D8537" w14:textId="77777777" w:rsidR="00AF2930" w:rsidRDefault="00AF2930" w:rsidP="00AF2930">
      <w:pPr>
        <w:spacing w:after="0" w:line="240" w:lineRule="auto"/>
        <w:contextualSpacing/>
        <w:jc w:val="both"/>
        <w:rPr>
          <w:rFonts w:ascii="Calibri" w:hAnsi="Calibri" w:cs="Calibri"/>
          <w:i/>
          <w:color w:val="FF0000"/>
          <w:highlight w:val="yellow"/>
        </w:rPr>
      </w:pPr>
    </w:p>
    <w:p w14:paraId="0B38AA18" w14:textId="77777777" w:rsidR="00F11382" w:rsidRDefault="00F11382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C17F24D" w14:textId="77777777" w:rsidR="00AF2930" w:rsidRDefault="00AF2930" w:rsidP="005844BD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0DB7283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7C584C88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 xml:space="preserve">ANEXO </w:t>
      </w:r>
      <w:r w:rsidR="00AF2930">
        <w:rPr>
          <w:rFonts w:ascii="Calibri" w:hAnsi="Calibri" w:cs="Calibri"/>
          <w:b/>
          <w:bCs/>
          <w:sz w:val="24"/>
          <w:szCs w:val="24"/>
        </w:rPr>
        <w:t>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1422E2C" w14:textId="77777777" w:rsidR="005844BD" w:rsidRPr="00B813A9" w:rsidRDefault="005844BD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  <w:bookmarkStart w:id="5" w:name="_GoBack"/>
      <w:bookmarkEnd w:id="5"/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627D0553" w14:textId="77777777" w:rsidR="005844BD" w:rsidRPr="00B813A9" w:rsidRDefault="005844BD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default" r:id="rId8"/>
      <w:footerReference w:type="default" r:id="rId9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B7D2" w14:textId="77777777" w:rsidR="00E65DB9" w:rsidRDefault="00E65DB9" w:rsidP="00687DF5">
      <w:pPr>
        <w:spacing w:after="0" w:line="240" w:lineRule="auto"/>
      </w:pPr>
      <w:r>
        <w:separator/>
      </w:r>
    </w:p>
  </w:endnote>
  <w:endnote w:type="continuationSeparator" w:id="0">
    <w:p w14:paraId="1C4CF632" w14:textId="77777777" w:rsidR="00E65DB9" w:rsidRDefault="00E65DB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835E11" w:rsidRDefault="00835E11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835E11" w:rsidRPr="00417B2A" w:rsidRDefault="00835E11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835E11" w:rsidRPr="00417B2A" w:rsidRDefault="00835E11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D8C6" w14:textId="77777777" w:rsidR="00E65DB9" w:rsidRDefault="00E65DB9" w:rsidP="00687DF5">
      <w:pPr>
        <w:spacing w:after="0" w:line="240" w:lineRule="auto"/>
      </w:pPr>
      <w:r>
        <w:separator/>
      </w:r>
    </w:p>
  </w:footnote>
  <w:footnote w:type="continuationSeparator" w:id="0">
    <w:p w14:paraId="338EAC11" w14:textId="77777777" w:rsidR="00E65DB9" w:rsidRDefault="00E65DB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835E11" w:rsidRDefault="00835E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835E11" w:rsidRPr="006B76D1" w:rsidRDefault="00835E1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844BD" w:rsidRPr="005844BD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19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835E11" w:rsidRPr="006B76D1" w:rsidRDefault="00835E1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5844BD" w:rsidRPr="005844BD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19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835E11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835E11" w:rsidRPr="008903C9" w:rsidRDefault="00835E11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3845EF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835E11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835E11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835E11" w:rsidRPr="008903C9" w:rsidRDefault="00835E11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1235FD" w:rsidR="00835E11" w:rsidRPr="008903C9" w:rsidRDefault="00835E11" w:rsidP="008D40F7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ORDINÁRIA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835E11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835E11" w:rsidRPr="008903C9" w:rsidRDefault="00835E11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835E11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17191A3D" w:rsidR="00835E11" w:rsidRPr="008903C9" w:rsidRDefault="00835E11" w:rsidP="00AD510B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AD510B">
            <w:rPr>
              <w:rFonts w:cstheme="minorHAnsi"/>
              <w:bCs/>
              <w:color w:val="000000" w:themeColor="text1"/>
              <w:sz w:val="20"/>
              <w:szCs w:val="20"/>
            </w:rPr>
            <w:t>3</w:t>
          </w:r>
        </w:p>
      </w:tc>
    </w:tr>
  </w:tbl>
  <w:p w14:paraId="69E10ADD" w14:textId="77777777" w:rsidR="00835E11" w:rsidRPr="008903C9" w:rsidRDefault="00835E11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1CE7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5B36"/>
    <w:rsid w:val="000F62BA"/>
    <w:rsid w:val="000F6A68"/>
    <w:rsid w:val="000F6D48"/>
    <w:rsid w:val="00102386"/>
    <w:rsid w:val="00103B1E"/>
    <w:rsid w:val="00104A90"/>
    <w:rsid w:val="0010637E"/>
    <w:rsid w:val="001127AC"/>
    <w:rsid w:val="0011683D"/>
    <w:rsid w:val="001215D6"/>
    <w:rsid w:val="001232B1"/>
    <w:rsid w:val="00125624"/>
    <w:rsid w:val="00126BED"/>
    <w:rsid w:val="001312C9"/>
    <w:rsid w:val="001346DA"/>
    <w:rsid w:val="00140597"/>
    <w:rsid w:val="0014415F"/>
    <w:rsid w:val="00146C13"/>
    <w:rsid w:val="00147AB9"/>
    <w:rsid w:val="0015001A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5949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22ADF"/>
    <w:rsid w:val="00324275"/>
    <w:rsid w:val="003246E7"/>
    <w:rsid w:val="00325165"/>
    <w:rsid w:val="0032550B"/>
    <w:rsid w:val="00325ECA"/>
    <w:rsid w:val="003261EC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5EF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4273"/>
    <w:rsid w:val="003C4497"/>
    <w:rsid w:val="003C5E81"/>
    <w:rsid w:val="003C6ECD"/>
    <w:rsid w:val="003C78B5"/>
    <w:rsid w:val="003D36D2"/>
    <w:rsid w:val="003D4764"/>
    <w:rsid w:val="003D4C8C"/>
    <w:rsid w:val="003E0A67"/>
    <w:rsid w:val="003E1DC9"/>
    <w:rsid w:val="003E2B96"/>
    <w:rsid w:val="003E408D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1C4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55961"/>
    <w:rsid w:val="00560F8D"/>
    <w:rsid w:val="00570F4F"/>
    <w:rsid w:val="005725C2"/>
    <w:rsid w:val="005740FA"/>
    <w:rsid w:val="00580920"/>
    <w:rsid w:val="00581FA7"/>
    <w:rsid w:val="00582D56"/>
    <w:rsid w:val="005844BD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1C3B"/>
    <w:rsid w:val="006F4063"/>
    <w:rsid w:val="006F5620"/>
    <w:rsid w:val="006F7609"/>
    <w:rsid w:val="00700E4C"/>
    <w:rsid w:val="00701241"/>
    <w:rsid w:val="00703D0D"/>
    <w:rsid w:val="00704510"/>
    <w:rsid w:val="007055D4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42B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D69BE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485B"/>
    <w:rsid w:val="00AC5064"/>
    <w:rsid w:val="00AC780F"/>
    <w:rsid w:val="00AD2F42"/>
    <w:rsid w:val="00AD510B"/>
    <w:rsid w:val="00AE2036"/>
    <w:rsid w:val="00AE59FC"/>
    <w:rsid w:val="00AF2930"/>
    <w:rsid w:val="00B02E0E"/>
    <w:rsid w:val="00B03FB7"/>
    <w:rsid w:val="00B049FC"/>
    <w:rsid w:val="00B13621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45F22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2A2"/>
    <w:rsid w:val="00CF3388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36A82"/>
    <w:rsid w:val="00E50D49"/>
    <w:rsid w:val="00E608B4"/>
    <w:rsid w:val="00E61385"/>
    <w:rsid w:val="00E6164E"/>
    <w:rsid w:val="00E61B4B"/>
    <w:rsid w:val="00E62E73"/>
    <w:rsid w:val="00E63498"/>
    <w:rsid w:val="00E63659"/>
    <w:rsid w:val="00E65DB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003E"/>
    <w:rsid w:val="00F43B6F"/>
    <w:rsid w:val="00F459F5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3E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EF2B-0793-4308-92A9-D57C3F0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7244</Words>
  <Characters>39118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8</cp:revision>
  <cp:lastPrinted>2023-12-20T20:57:00Z</cp:lastPrinted>
  <dcterms:created xsi:type="dcterms:W3CDTF">2024-01-08T21:16:00Z</dcterms:created>
  <dcterms:modified xsi:type="dcterms:W3CDTF">2024-01-25T16:08:00Z</dcterms:modified>
</cp:coreProperties>
</file>